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012F" w14:textId="77777777" w:rsidR="00F2576F" w:rsidRDefault="00F2576F" w:rsidP="00F2576F">
      <w:pPr>
        <w:pBdr>
          <w:bottom w:val="single" w:sz="6" w:space="1" w:color="auto"/>
        </w:pBdr>
      </w:pPr>
    </w:p>
    <w:p w14:paraId="3C375C37" w14:textId="77777777" w:rsidR="00F2576F" w:rsidRPr="0030215C" w:rsidRDefault="00F2576F" w:rsidP="00F2576F">
      <w:pPr>
        <w:jc w:val="left"/>
        <w:rPr>
          <w:b/>
        </w:rPr>
      </w:pPr>
      <w:r>
        <w:rPr>
          <w:b/>
        </w:rPr>
        <w:t>EUV</w:t>
      </w:r>
      <w:r w:rsidRPr="0030215C">
        <w:rPr>
          <w:b/>
        </w:rPr>
        <w:t xml:space="preserve"> IMAGING SPECTROMETER</w:t>
      </w:r>
    </w:p>
    <w:p w14:paraId="32D97270" w14:textId="77777777" w:rsidR="00F2576F" w:rsidRPr="0030215C" w:rsidRDefault="00F2576F" w:rsidP="00F2576F">
      <w:pPr>
        <w:jc w:val="left"/>
        <w:rPr>
          <w:b/>
        </w:rPr>
      </w:pPr>
      <w:proofErr w:type="spellStart"/>
      <w:r w:rsidRPr="0030215C">
        <w:rPr>
          <w:b/>
          <w:sz w:val="48"/>
        </w:rPr>
        <w:t>Hinode</w:t>
      </w:r>
      <w:proofErr w:type="spellEnd"/>
    </w:p>
    <w:p w14:paraId="5B07FEF7" w14:textId="06D2268A" w:rsidR="00F2576F" w:rsidRPr="0030215C" w:rsidRDefault="000C7322" w:rsidP="00F2576F">
      <w:pPr>
        <w:pBdr>
          <w:top w:val="single" w:sz="6" w:space="1" w:color="auto"/>
          <w:bottom w:val="single" w:sz="6" w:space="1" w:color="auto"/>
        </w:pBdr>
        <w:jc w:val="center"/>
        <w:rPr>
          <w:b/>
        </w:rPr>
      </w:pPr>
      <w:r>
        <w:rPr>
          <w:b/>
        </w:rPr>
        <w:t>EIS SOFTWARE NOTE No. 23</w:t>
      </w:r>
    </w:p>
    <w:p w14:paraId="5CCD201F" w14:textId="77777777" w:rsidR="00F2576F" w:rsidRDefault="00F2576F" w:rsidP="00F2576F">
      <w:pPr>
        <w:pBdr>
          <w:bottom w:val="single" w:sz="6" w:space="1" w:color="auto"/>
          <w:between w:val="single" w:sz="6" w:space="1" w:color="auto"/>
        </w:pBdr>
        <w:jc w:val="left"/>
        <w:sectPr w:rsidR="00F2576F">
          <w:pgSz w:w="12240" w:h="15840"/>
          <w:pgMar w:top="1440" w:right="1800" w:bottom="1440" w:left="1800" w:header="720" w:footer="720" w:gutter="0"/>
          <w:cols w:space="720"/>
        </w:sectPr>
      </w:pPr>
    </w:p>
    <w:p w14:paraId="44562FA9" w14:textId="1F4ACDB0" w:rsidR="00F2576F" w:rsidRDefault="000C7322" w:rsidP="00F2576F">
      <w:pPr>
        <w:pBdr>
          <w:bottom w:val="single" w:sz="6" w:space="1" w:color="auto"/>
          <w:between w:val="single" w:sz="6" w:space="1" w:color="auto"/>
        </w:pBdr>
        <w:jc w:val="left"/>
      </w:pPr>
      <w:r>
        <w:lastRenderedPageBreak/>
        <w:t>Version 0.1</w:t>
      </w:r>
    </w:p>
    <w:p w14:paraId="396F3D89" w14:textId="13C47DB0" w:rsidR="00F2576F" w:rsidRDefault="000C7322" w:rsidP="00F2576F">
      <w:pPr>
        <w:pBdr>
          <w:bottom w:val="single" w:sz="6" w:space="1" w:color="auto"/>
          <w:between w:val="single" w:sz="6" w:space="1" w:color="auto"/>
        </w:pBdr>
        <w:jc w:val="right"/>
        <w:sectPr w:rsidR="00F2576F">
          <w:type w:val="continuous"/>
          <w:pgSz w:w="12240" w:h="15840"/>
          <w:pgMar w:top="1440" w:right="1800" w:bottom="1440" w:left="1800" w:header="720" w:footer="720" w:gutter="0"/>
          <w:cols w:num="2" w:space="0"/>
        </w:sectPr>
      </w:pPr>
      <w:r>
        <w:lastRenderedPageBreak/>
        <w:tab/>
        <w:t>17 March 2017</w:t>
      </w:r>
    </w:p>
    <w:p w14:paraId="7B98941F" w14:textId="77777777" w:rsidR="00F2576F" w:rsidRDefault="00F2576F" w:rsidP="00F2576F">
      <w:pPr>
        <w:jc w:val="left"/>
      </w:pPr>
    </w:p>
    <w:p w14:paraId="277763EC" w14:textId="77777777" w:rsidR="00F2576F" w:rsidRDefault="00F2576F" w:rsidP="00F2576F">
      <w:pPr>
        <w:jc w:val="left"/>
      </w:pPr>
    </w:p>
    <w:p w14:paraId="2A41158D" w14:textId="77777777" w:rsidR="00F2576F" w:rsidRDefault="00F2576F" w:rsidP="00F2576F">
      <w:pPr>
        <w:jc w:val="left"/>
      </w:pPr>
    </w:p>
    <w:p w14:paraId="1DE47A45" w14:textId="77777777" w:rsidR="00F2576F" w:rsidRDefault="00F2576F" w:rsidP="00F2576F">
      <w:pPr>
        <w:jc w:val="left"/>
      </w:pPr>
    </w:p>
    <w:p w14:paraId="61337DCF" w14:textId="77777777" w:rsidR="00F2576F" w:rsidRDefault="00F2576F" w:rsidP="00F2576F">
      <w:pPr>
        <w:jc w:val="left"/>
      </w:pPr>
    </w:p>
    <w:p w14:paraId="0F6E58C0" w14:textId="77777777" w:rsidR="00F2576F" w:rsidRDefault="00F2576F" w:rsidP="00F2576F">
      <w:pPr>
        <w:jc w:val="left"/>
      </w:pPr>
    </w:p>
    <w:p w14:paraId="174F7C78" w14:textId="77777777" w:rsidR="00F2576F" w:rsidRDefault="00F2576F" w:rsidP="00F2576F">
      <w:pPr>
        <w:jc w:val="left"/>
      </w:pPr>
    </w:p>
    <w:p w14:paraId="5F66BC57" w14:textId="77777777" w:rsidR="00F2576F" w:rsidRDefault="00F2576F" w:rsidP="00F2576F">
      <w:pPr>
        <w:jc w:val="left"/>
      </w:pPr>
    </w:p>
    <w:p w14:paraId="03545104" w14:textId="77777777" w:rsidR="00F2576F" w:rsidRDefault="00F2576F" w:rsidP="00F2576F">
      <w:pPr>
        <w:jc w:val="left"/>
      </w:pPr>
    </w:p>
    <w:p w14:paraId="54B4C026" w14:textId="20041586" w:rsidR="00F2576F" w:rsidRPr="0030215C" w:rsidRDefault="000C7322" w:rsidP="00F2576F">
      <w:pPr>
        <w:jc w:val="center"/>
        <w:rPr>
          <w:b/>
          <w:sz w:val="28"/>
        </w:rPr>
      </w:pPr>
      <w:r>
        <w:rPr>
          <w:b/>
          <w:sz w:val="28"/>
        </w:rPr>
        <w:t>Wavelength calibration of EIS spectra</w:t>
      </w:r>
    </w:p>
    <w:p w14:paraId="353C4667" w14:textId="77777777" w:rsidR="00F2576F" w:rsidRDefault="00F2576F" w:rsidP="00F2576F">
      <w:pPr>
        <w:jc w:val="left"/>
      </w:pPr>
    </w:p>
    <w:p w14:paraId="6465AAAB" w14:textId="77777777" w:rsidR="00F2576F" w:rsidRDefault="00F2576F" w:rsidP="00F2576F">
      <w:pPr>
        <w:jc w:val="left"/>
      </w:pPr>
    </w:p>
    <w:p w14:paraId="2B514660" w14:textId="77777777" w:rsidR="00F2576F" w:rsidRDefault="00F2576F" w:rsidP="00F2576F">
      <w:pPr>
        <w:jc w:val="center"/>
      </w:pPr>
      <w:r>
        <w:t>Peter Young</w:t>
      </w:r>
    </w:p>
    <w:p w14:paraId="6805AC10" w14:textId="77777777" w:rsidR="00A51EDB" w:rsidRDefault="00A51EDB" w:rsidP="00F2576F">
      <w:pPr>
        <w:jc w:val="center"/>
      </w:pPr>
      <w:r>
        <w:t>George Mason University</w:t>
      </w:r>
    </w:p>
    <w:p w14:paraId="3CA6BDD3" w14:textId="77777777" w:rsidR="00A51EDB" w:rsidRDefault="00A51EDB" w:rsidP="00F2576F">
      <w:pPr>
        <w:jc w:val="center"/>
      </w:pPr>
      <w:r>
        <w:t>4400 University Drive</w:t>
      </w:r>
    </w:p>
    <w:p w14:paraId="63CD2396" w14:textId="77777777" w:rsidR="00F2576F" w:rsidRDefault="00A51EDB" w:rsidP="00F2576F">
      <w:pPr>
        <w:jc w:val="center"/>
      </w:pPr>
      <w:r>
        <w:t>Fairfax, VA 22030</w:t>
      </w:r>
    </w:p>
    <w:p w14:paraId="4FDB2CD3" w14:textId="77777777" w:rsidR="00F2576F" w:rsidRDefault="00F2576F" w:rsidP="00F2576F">
      <w:pPr>
        <w:jc w:val="center"/>
      </w:pPr>
      <w:r>
        <w:t>U.S.A.</w:t>
      </w:r>
    </w:p>
    <w:p w14:paraId="265373BE" w14:textId="77777777" w:rsidR="00F2576F" w:rsidRDefault="00F2576F" w:rsidP="00F2576F">
      <w:pPr>
        <w:jc w:val="center"/>
      </w:pPr>
    </w:p>
    <w:p w14:paraId="6A8C18BC" w14:textId="77777777" w:rsidR="00F2576F" w:rsidRDefault="00A51EDB" w:rsidP="00F2576F">
      <w:pPr>
        <w:jc w:val="center"/>
      </w:pPr>
      <w:r>
        <w:t>pyoung9@gmu.edu</w:t>
      </w:r>
    </w:p>
    <w:p w14:paraId="1B9DE6E6" w14:textId="77777777" w:rsidR="00F2576F" w:rsidRDefault="00F2576F" w:rsidP="00F2576F">
      <w:pPr>
        <w:jc w:val="left"/>
      </w:pPr>
    </w:p>
    <w:p w14:paraId="13AFD009" w14:textId="77777777" w:rsidR="00F2576F" w:rsidRDefault="00F2576F" w:rsidP="00F2576F">
      <w:pPr>
        <w:jc w:val="left"/>
        <w:sectPr w:rsidR="00F2576F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ACCB1E0" w14:textId="77777777" w:rsidR="002F6840" w:rsidRDefault="002F6840" w:rsidP="002F6840">
      <w:pPr>
        <w:pStyle w:val="Heading1"/>
      </w:pPr>
      <w:r>
        <w:lastRenderedPageBreak/>
        <w:t>Introduction</w:t>
      </w:r>
    </w:p>
    <w:p w14:paraId="590D0100" w14:textId="4802AAF6" w:rsidR="005062F3" w:rsidRDefault="000C7322" w:rsidP="00927090">
      <w:r>
        <w:t>This document summarizes the steps required for deriving an accurate wavelength calibration for EIS spectra</w:t>
      </w:r>
      <w:r w:rsidR="005062F3">
        <w:t>.</w:t>
      </w:r>
    </w:p>
    <w:p w14:paraId="3F6AE19E" w14:textId="77777777" w:rsidR="003C5413" w:rsidRDefault="003C5413" w:rsidP="009270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1F0BB0" w:rsidRPr="001F0BB0" w14:paraId="41C0A266" w14:textId="77777777" w:rsidTr="003C5413">
        <w:tc>
          <w:tcPr>
            <w:tcW w:w="3168" w:type="dxa"/>
            <w:tcBorders>
              <w:bottom w:val="single" w:sz="4" w:space="0" w:color="auto"/>
            </w:tcBorders>
          </w:tcPr>
          <w:p w14:paraId="42267FD6" w14:textId="42CC8CB8" w:rsidR="001F0BB0" w:rsidRPr="001F0BB0" w:rsidRDefault="001F0BB0" w:rsidP="00927090">
            <w:pPr>
              <w:rPr>
                <w:b/>
              </w:rPr>
            </w:pPr>
            <w:r w:rsidRPr="001F0BB0">
              <w:rPr>
                <w:b/>
              </w:rPr>
              <w:t>Routine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5A030AC2" w14:textId="3C3F3CEB" w:rsidR="001F0BB0" w:rsidRPr="001F0BB0" w:rsidRDefault="001F0BB0" w:rsidP="00927090">
            <w:pPr>
              <w:rPr>
                <w:b/>
              </w:rPr>
            </w:pPr>
            <w:r w:rsidRPr="001F0BB0">
              <w:rPr>
                <w:b/>
              </w:rPr>
              <w:t>Purpose</w:t>
            </w:r>
          </w:p>
        </w:tc>
      </w:tr>
      <w:tr w:rsidR="001F0BB0" w14:paraId="1AC64187" w14:textId="77777777" w:rsidTr="003C5413">
        <w:tc>
          <w:tcPr>
            <w:tcW w:w="3168" w:type="dxa"/>
            <w:tcBorders>
              <w:bottom w:val="nil"/>
              <w:right w:val="single" w:sz="4" w:space="0" w:color="auto"/>
            </w:tcBorders>
          </w:tcPr>
          <w:p w14:paraId="1622E871" w14:textId="6110E78C" w:rsidR="001F0BB0" w:rsidRDefault="001F0BB0" w:rsidP="00927090">
            <w:proofErr w:type="spellStart"/>
            <w:r>
              <w:t>eis_join_windata</w:t>
            </w:r>
            <w:proofErr w:type="spellEnd"/>
          </w:p>
        </w:tc>
        <w:tc>
          <w:tcPr>
            <w:tcW w:w="5688" w:type="dxa"/>
            <w:tcBorders>
              <w:left w:val="single" w:sz="4" w:space="0" w:color="auto"/>
              <w:bottom w:val="nil"/>
            </w:tcBorders>
          </w:tcPr>
          <w:p w14:paraId="543BF22B" w14:textId="70D93C86" w:rsidR="001F0BB0" w:rsidRDefault="001F0BB0" w:rsidP="00927090">
            <w:r>
              <w:t xml:space="preserve">Join two </w:t>
            </w:r>
            <w:proofErr w:type="spellStart"/>
            <w:r>
              <w:t>windatas</w:t>
            </w:r>
            <w:proofErr w:type="spellEnd"/>
            <w:r>
              <w:t xml:space="preserve"> together in wavelength direction.</w:t>
            </w:r>
          </w:p>
        </w:tc>
      </w:tr>
      <w:tr w:rsidR="001F0BB0" w14:paraId="34407916" w14:textId="77777777" w:rsidTr="003C5413">
        <w:tc>
          <w:tcPr>
            <w:tcW w:w="3168" w:type="dxa"/>
            <w:tcBorders>
              <w:top w:val="nil"/>
              <w:bottom w:val="nil"/>
              <w:right w:val="single" w:sz="4" w:space="0" w:color="auto"/>
            </w:tcBorders>
          </w:tcPr>
          <w:p w14:paraId="0AF8F9A4" w14:textId="287217D6" w:rsidR="001F0BB0" w:rsidRDefault="001F0BB0" w:rsidP="00927090">
            <w:proofErr w:type="spellStart"/>
            <w:r>
              <w:t>eis_bin_windata</w:t>
            </w:r>
            <w:proofErr w:type="spellEnd"/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14:paraId="0C8DBAB5" w14:textId="58F3E72D" w:rsidR="001F0BB0" w:rsidRDefault="001F0BB0" w:rsidP="00927090">
            <w:r>
              <w:t xml:space="preserve">Spatially bin </w:t>
            </w:r>
            <w:proofErr w:type="spellStart"/>
            <w:r>
              <w:t>windata</w:t>
            </w:r>
            <w:proofErr w:type="spellEnd"/>
            <w:r>
              <w:t xml:space="preserve"> in X and/or Y directions.</w:t>
            </w:r>
          </w:p>
        </w:tc>
      </w:tr>
      <w:tr w:rsidR="001F0BB0" w14:paraId="1C7EC3F1" w14:textId="77777777" w:rsidTr="003C5413">
        <w:tc>
          <w:tcPr>
            <w:tcW w:w="3168" w:type="dxa"/>
            <w:tcBorders>
              <w:top w:val="nil"/>
              <w:bottom w:val="nil"/>
              <w:right w:val="single" w:sz="4" w:space="0" w:color="auto"/>
            </w:tcBorders>
          </w:tcPr>
          <w:p w14:paraId="5B00A1A6" w14:textId="462FB0DE" w:rsidR="001F0BB0" w:rsidRDefault="001F0BB0" w:rsidP="00927090">
            <w:proofErr w:type="spellStart"/>
            <w:r>
              <w:t>eis_trim_windata</w:t>
            </w:r>
            <w:proofErr w:type="spellEnd"/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14:paraId="424642D5" w14:textId="1FF884FD" w:rsidR="001F0BB0" w:rsidRDefault="001F0BB0" w:rsidP="00927090">
            <w:r>
              <w:t xml:space="preserve">Reduce the wavelength range of a </w:t>
            </w:r>
            <w:proofErr w:type="spellStart"/>
            <w:r>
              <w:t>windata</w:t>
            </w:r>
            <w:proofErr w:type="spellEnd"/>
            <w:r>
              <w:t>.</w:t>
            </w:r>
          </w:p>
        </w:tc>
      </w:tr>
      <w:tr w:rsidR="001F0BB0" w14:paraId="31CA3E30" w14:textId="77777777" w:rsidTr="003C5413">
        <w:tc>
          <w:tcPr>
            <w:tcW w:w="3168" w:type="dxa"/>
            <w:tcBorders>
              <w:top w:val="nil"/>
              <w:bottom w:val="nil"/>
              <w:right w:val="single" w:sz="4" w:space="0" w:color="auto"/>
            </w:tcBorders>
          </w:tcPr>
          <w:p w14:paraId="4752F3AA" w14:textId="36C086F0" w:rsidR="001F0BB0" w:rsidRDefault="001F0BB0" w:rsidP="00927090">
            <w:proofErr w:type="spellStart"/>
            <w:r>
              <w:t>eis_combine_sitstare_windata</w:t>
            </w:r>
            <w:proofErr w:type="spellEnd"/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14:paraId="545A931A" w14:textId="1C129702" w:rsidR="001F0BB0" w:rsidRDefault="001F0BB0" w:rsidP="00927090">
            <w:r>
              <w:t xml:space="preserve">Join two sit-and-stare </w:t>
            </w:r>
            <w:proofErr w:type="spellStart"/>
            <w:r>
              <w:t>windatas</w:t>
            </w:r>
            <w:proofErr w:type="spellEnd"/>
            <w:r>
              <w:t xml:space="preserve"> in time direction.</w:t>
            </w:r>
          </w:p>
        </w:tc>
      </w:tr>
      <w:tr w:rsidR="001F0BB0" w14:paraId="367486A6" w14:textId="77777777" w:rsidTr="003C5413">
        <w:tc>
          <w:tcPr>
            <w:tcW w:w="3168" w:type="dxa"/>
            <w:tcBorders>
              <w:top w:val="nil"/>
              <w:bottom w:val="nil"/>
              <w:right w:val="single" w:sz="4" w:space="0" w:color="auto"/>
            </w:tcBorders>
          </w:tcPr>
          <w:p w14:paraId="23D14E02" w14:textId="2F5E52DE" w:rsidR="001F0BB0" w:rsidRDefault="001F0BB0" w:rsidP="00927090">
            <w:proofErr w:type="spellStart"/>
            <w:r>
              <w:t>eis_shift_spec</w:t>
            </w:r>
            <w:proofErr w:type="spellEnd"/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14:paraId="2FAA61BE" w14:textId="1037EAF1" w:rsidR="001F0BB0" w:rsidRDefault="001F0BB0" w:rsidP="00927090">
            <w:r>
              <w:t>Interpolate all spatial pixels onto common wavelength scale.</w:t>
            </w:r>
          </w:p>
        </w:tc>
      </w:tr>
      <w:tr w:rsidR="001F0BB0" w14:paraId="68F151E7" w14:textId="77777777" w:rsidTr="003C5413">
        <w:tc>
          <w:tcPr>
            <w:tcW w:w="3168" w:type="dxa"/>
            <w:tcBorders>
              <w:top w:val="nil"/>
              <w:bottom w:val="nil"/>
              <w:right w:val="single" w:sz="4" w:space="0" w:color="auto"/>
            </w:tcBorders>
          </w:tcPr>
          <w:p w14:paraId="6E3832BC" w14:textId="0CDFF7F1" w:rsidR="001F0BB0" w:rsidRDefault="001F0BB0" w:rsidP="00927090">
            <w:proofErr w:type="spellStart"/>
            <w:r>
              <w:t>eis_fix_windata</w:t>
            </w:r>
            <w:proofErr w:type="spellEnd"/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14:paraId="7CFF4B1B" w14:textId="1AFAEE33" w:rsidR="001F0BB0" w:rsidRDefault="003C5413" w:rsidP="00927090">
            <w:r>
              <w:t xml:space="preserve">Remove data anomalies from </w:t>
            </w:r>
            <w:proofErr w:type="spellStart"/>
            <w:r>
              <w:t>windata</w:t>
            </w:r>
            <w:proofErr w:type="spellEnd"/>
            <w:r>
              <w:t>.</w:t>
            </w:r>
          </w:p>
        </w:tc>
      </w:tr>
      <w:tr w:rsidR="001F0BB0" w14:paraId="58C01CBB" w14:textId="77777777" w:rsidTr="003C5413">
        <w:tc>
          <w:tcPr>
            <w:tcW w:w="3168" w:type="dxa"/>
            <w:tcBorders>
              <w:top w:val="nil"/>
              <w:right w:val="single" w:sz="4" w:space="0" w:color="auto"/>
            </w:tcBorders>
          </w:tcPr>
          <w:p w14:paraId="717A774B" w14:textId="5D1B069A" w:rsidR="001F0BB0" w:rsidRDefault="001F0BB0" w:rsidP="00927090">
            <w:proofErr w:type="spellStart"/>
            <w:r>
              <w:t>eis_sat_windata</w:t>
            </w:r>
            <w:proofErr w:type="spellEnd"/>
          </w:p>
        </w:tc>
        <w:tc>
          <w:tcPr>
            <w:tcW w:w="5688" w:type="dxa"/>
            <w:tcBorders>
              <w:top w:val="nil"/>
              <w:left w:val="single" w:sz="4" w:space="0" w:color="auto"/>
            </w:tcBorders>
          </w:tcPr>
          <w:p w14:paraId="023F7D8C" w14:textId="6C060E99" w:rsidR="001F0BB0" w:rsidRDefault="003C5413" w:rsidP="00927090">
            <w:r>
              <w:t>Set saturated data to missing when using /refill.</w:t>
            </w:r>
          </w:p>
        </w:tc>
      </w:tr>
    </w:tbl>
    <w:p w14:paraId="16852D35" w14:textId="77777777" w:rsidR="001F0BB0" w:rsidRDefault="001F0BB0" w:rsidP="00927090"/>
    <w:p w14:paraId="7AA7E250" w14:textId="3554F303" w:rsidR="00E844A7" w:rsidRDefault="000C7322" w:rsidP="005062F3">
      <w:pPr>
        <w:pStyle w:val="Heading1"/>
      </w:pPr>
      <w:r>
        <w:t>Instrumental effects</w:t>
      </w:r>
    </w:p>
    <w:p w14:paraId="6CB41666" w14:textId="4B840584" w:rsidR="00E844A7" w:rsidRDefault="000C7322" w:rsidP="00E844A7">
      <w:r>
        <w:t xml:space="preserve">EIS does not have a wavelength calibration lamp, nor does it have access to </w:t>
      </w:r>
      <w:proofErr w:type="spellStart"/>
      <w:r>
        <w:t>photospheric</w:t>
      </w:r>
      <w:proofErr w:type="spellEnd"/>
      <w:r>
        <w:t xml:space="preserve"> lines that can be used as fiducial points. In </w:t>
      </w:r>
      <w:proofErr w:type="gramStart"/>
      <w:r>
        <w:t>addition</w:t>
      </w:r>
      <w:proofErr w:type="gramEnd"/>
      <w:r>
        <w:t xml:space="preserve"> the spectra move on the EIS CCDs during an orbit, and so using an off-limb spectrum to fix the calibration (assuming zero velocity) and then moving to an on-disk pointing does not work.</w:t>
      </w:r>
    </w:p>
    <w:p w14:paraId="74F08DFC" w14:textId="0F27F176" w:rsidR="000C7322" w:rsidRDefault="000C7322" w:rsidP="00E844A7">
      <w:r>
        <w:t>The key instrumental effects to bear in mind are:</w:t>
      </w:r>
    </w:p>
    <w:p w14:paraId="271FEF31" w14:textId="40FD7923" w:rsidR="000C7322" w:rsidRDefault="000C7322" w:rsidP="000C7322">
      <w:pPr>
        <w:pStyle w:val="ListParagraph"/>
        <w:numPr>
          <w:ilvl w:val="0"/>
          <w:numId w:val="40"/>
        </w:numPr>
      </w:pPr>
      <w:r>
        <w:t xml:space="preserve">The EIS spectra move on the CCD during the </w:t>
      </w:r>
      <w:proofErr w:type="gramStart"/>
      <w:r>
        <w:t>98.5 minute</w:t>
      </w:r>
      <w:proofErr w:type="gramEnd"/>
      <w:r>
        <w:t xml:space="preserve"> orbit by about </w:t>
      </w:r>
      <w:r>
        <w:rPr>
          <w:rFonts w:cs="Times New Roman"/>
        </w:rPr>
        <w:t>±</w:t>
      </w:r>
      <w:r>
        <w:t xml:space="preserve"> 60 km/s.</w:t>
      </w:r>
    </w:p>
    <w:p w14:paraId="21F14C01" w14:textId="1BB00877" w:rsidR="000C7322" w:rsidRDefault="000C7322" w:rsidP="000C7322">
      <w:pPr>
        <w:pStyle w:val="ListParagraph"/>
        <w:numPr>
          <w:ilvl w:val="0"/>
          <w:numId w:val="40"/>
        </w:numPr>
      </w:pPr>
      <w:r>
        <w:t xml:space="preserve">The wavelength separation between the SW and LW channels varies by up to 20 </w:t>
      </w:r>
      <w:proofErr w:type="spellStart"/>
      <w:r>
        <w:t>m</w:t>
      </w:r>
      <w:r>
        <w:rPr>
          <w:rFonts w:cs="Times New Roman"/>
        </w:rPr>
        <w:t>Å</w:t>
      </w:r>
      <w:proofErr w:type="spellEnd"/>
      <w:r>
        <w:t>.</w:t>
      </w:r>
    </w:p>
    <w:p w14:paraId="648349B8" w14:textId="75BC2673" w:rsidR="000C7322" w:rsidRDefault="000C7322" w:rsidP="000C7322">
      <w:pPr>
        <w:pStyle w:val="ListParagraph"/>
        <w:numPr>
          <w:ilvl w:val="0"/>
          <w:numId w:val="40"/>
        </w:numPr>
      </w:pPr>
      <w:r>
        <w:t>The EIS slit is not parallel to the CCD Y-axis, and so the lines’ centroids change with Y-position.</w:t>
      </w:r>
      <w:bookmarkStart w:id="0" w:name="_GoBack"/>
      <w:bookmarkEnd w:id="0"/>
    </w:p>
    <w:p w14:paraId="5234D65D" w14:textId="286C80A1" w:rsidR="007D6DA6" w:rsidRPr="003B5FA4" w:rsidRDefault="007D6DA6" w:rsidP="00927090">
      <w:pPr>
        <w:rPr>
          <w:b/>
        </w:rPr>
      </w:pPr>
    </w:p>
    <w:p w14:paraId="02EDB667" w14:textId="3BF92D03" w:rsidR="00C11E71" w:rsidRPr="00440236" w:rsidRDefault="00440236" w:rsidP="00A52EAE">
      <w:pPr>
        <w:rPr>
          <w:b/>
        </w:rPr>
      </w:pPr>
      <w:r w:rsidRPr="00440236">
        <w:rPr>
          <w:b/>
        </w:rPr>
        <w:t>Update history</w:t>
      </w:r>
    </w:p>
    <w:p w14:paraId="41A6EDAF" w14:textId="2F3CDC32" w:rsidR="00440236" w:rsidRPr="00A52EAE" w:rsidRDefault="000C7322" w:rsidP="00A52EAE">
      <w:r>
        <w:rPr>
          <w:i/>
        </w:rPr>
        <w:t>Version 0</w:t>
      </w:r>
      <w:r w:rsidR="00440236" w:rsidRPr="00440236">
        <w:rPr>
          <w:i/>
        </w:rPr>
        <w:t>.1</w:t>
      </w:r>
      <w:r>
        <w:t xml:space="preserve"> – first version</w:t>
      </w:r>
      <w:r w:rsidR="00440236">
        <w:t>.</w:t>
      </w:r>
    </w:p>
    <w:sectPr w:rsidR="00440236" w:rsidRPr="00A52EAE" w:rsidSect="00C73D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C0C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92617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76A5F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DB6F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1BA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69CA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89692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EEBA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E18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4689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014D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6F464F"/>
    <w:multiLevelType w:val="multilevel"/>
    <w:tmpl w:val="D65289AE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D931B8"/>
    <w:multiLevelType w:val="hybridMultilevel"/>
    <w:tmpl w:val="2500CFD8"/>
    <w:lvl w:ilvl="0" w:tplc="2D92B61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862B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3DF3A63"/>
    <w:multiLevelType w:val="hybridMultilevel"/>
    <w:tmpl w:val="7E74BC6A"/>
    <w:lvl w:ilvl="0" w:tplc="6E9815B4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113F37"/>
    <w:multiLevelType w:val="hybridMultilevel"/>
    <w:tmpl w:val="CF625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9B71E3"/>
    <w:multiLevelType w:val="hybridMultilevel"/>
    <w:tmpl w:val="C406D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662B9F"/>
    <w:multiLevelType w:val="hybridMultilevel"/>
    <w:tmpl w:val="38E2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A701CA"/>
    <w:multiLevelType w:val="hybridMultilevel"/>
    <w:tmpl w:val="A080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765D0"/>
    <w:multiLevelType w:val="multilevel"/>
    <w:tmpl w:val="F5D69316"/>
    <w:lvl w:ilvl="0">
      <w:start w:val="1"/>
      <w:numFmt w:val="no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%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3"/>
      <w:lvlJc w:val="left"/>
      <w:pPr>
        <w:ind w:left="576" w:hanging="576"/>
      </w:pPr>
      <w:rPr>
        <w:rFonts w:hint="default"/>
      </w:rPr>
    </w:lvl>
    <w:lvl w:ilvl="3">
      <w:start w:val="1"/>
      <w:numFmt w:val="decimal"/>
      <w:lvlText w:val="%1%3.%4"/>
      <w:lvlJc w:val="left"/>
      <w:pPr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79A159F"/>
    <w:multiLevelType w:val="hybridMultilevel"/>
    <w:tmpl w:val="5BCE5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18454D"/>
    <w:multiLevelType w:val="multilevel"/>
    <w:tmpl w:val="8A5A496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D3D6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AA067CF"/>
    <w:multiLevelType w:val="hybridMultilevel"/>
    <w:tmpl w:val="779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F2C9B"/>
    <w:multiLevelType w:val="hybridMultilevel"/>
    <w:tmpl w:val="F2F68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0E1D49"/>
    <w:multiLevelType w:val="hybridMultilevel"/>
    <w:tmpl w:val="4DA2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119DF"/>
    <w:multiLevelType w:val="hybridMultilevel"/>
    <w:tmpl w:val="5D027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72FFC"/>
    <w:multiLevelType w:val="hybridMultilevel"/>
    <w:tmpl w:val="30080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D366C"/>
    <w:multiLevelType w:val="hybridMultilevel"/>
    <w:tmpl w:val="10B4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878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21701E4"/>
    <w:multiLevelType w:val="hybridMultilevel"/>
    <w:tmpl w:val="7C040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32B6C"/>
    <w:multiLevelType w:val="hybridMultilevel"/>
    <w:tmpl w:val="27C0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513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EE77B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B8D5FC3"/>
    <w:multiLevelType w:val="hybridMultilevel"/>
    <w:tmpl w:val="1F3A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21FA6"/>
    <w:multiLevelType w:val="hybridMultilevel"/>
    <w:tmpl w:val="D6EC9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639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2382A1E"/>
    <w:multiLevelType w:val="multilevel"/>
    <w:tmpl w:val="14A661C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75FF1628"/>
    <w:multiLevelType w:val="multilevel"/>
    <w:tmpl w:val="14A661C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67D5B6A"/>
    <w:multiLevelType w:val="hybridMultilevel"/>
    <w:tmpl w:val="81CE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1"/>
  </w:num>
  <w:num w:numId="4">
    <w:abstractNumId w:val="25"/>
  </w:num>
  <w:num w:numId="5">
    <w:abstractNumId w:val="29"/>
  </w:num>
  <w:num w:numId="6">
    <w:abstractNumId w:val="32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10"/>
  </w:num>
  <w:num w:numId="17">
    <w:abstractNumId w:val="8"/>
  </w:num>
  <w:num w:numId="18">
    <w:abstractNumId w:val="7"/>
  </w:num>
  <w:num w:numId="19">
    <w:abstractNumId w:val="21"/>
  </w:num>
  <w:num w:numId="20">
    <w:abstractNumId w:val="11"/>
  </w:num>
  <w:num w:numId="21">
    <w:abstractNumId w:val="38"/>
  </w:num>
  <w:num w:numId="22">
    <w:abstractNumId w:val="37"/>
  </w:num>
  <w:num w:numId="23">
    <w:abstractNumId w:val="27"/>
  </w:num>
  <w:num w:numId="24">
    <w:abstractNumId w:val="35"/>
  </w:num>
  <w:num w:numId="25">
    <w:abstractNumId w:val="39"/>
  </w:num>
  <w:num w:numId="26">
    <w:abstractNumId w:val="24"/>
  </w:num>
  <w:num w:numId="27">
    <w:abstractNumId w:val="34"/>
  </w:num>
  <w:num w:numId="28">
    <w:abstractNumId w:val="18"/>
  </w:num>
  <w:num w:numId="29">
    <w:abstractNumId w:val="26"/>
  </w:num>
  <w:num w:numId="30">
    <w:abstractNumId w:val="15"/>
  </w:num>
  <w:num w:numId="31">
    <w:abstractNumId w:val="28"/>
  </w:num>
  <w:num w:numId="32">
    <w:abstractNumId w:val="23"/>
  </w:num>
  <w:num w:numId="33">
    <w:abstractNumId w:val="33"/>
  </w:num>
  <w:num w:numId="34">
    <w:abstractNumId w:val="36"/>
  </w:num>
  <w:num w:numId="35">
    <w:abstractNumId w:val="13"/>
  </w:num>
  <w:num w:numId="36">
    <w:abstractNumId w:val="19"/>
  </w:num>
  <w:num w:numId="37">
    <w:abstractNumId w:val="20"/>
  </w:num>
  <w:num w:numId="38">
    <w:abstractNumId w:val="30"/>
  </w:num>
  <w:num w:numId="39">
    <w:abstractNumId w:val="2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73D22"/>
    <w:rsid w:val="00000C5A"/>
    <w:rsid w:val="000242BE"/>
    <w:rsid w:val="00031707"/>
    <w:rsid w:val="00043730"/>
    <w:rsid w:val="00063F50"/>
    <w:rsid w:val="00065483"/>
    <w:rsid w:val="00097DBC"/>
    <w:rsid w:val="000C3A22"/>
    <w:rsid w:val="000C7322"/>
    <w:rsid w:val="000F6115"/>
    <w:rsid w:val="001132BA"/>
    <w:rsid w:val="00116A3E"/>
    <w:rsid w:val="00154437"/>
    <w:rsid w:val="001578A8"/>
    <w:rsid w:val="00161290"/>
    <w:rsid w:val="001B3FC2"/>
    <w:rsid w:val="001C49D8"/>
    <w:rsid w:val="001D55F4"/>
    <w:rsid w:val="001F0BB0"/>
    <w:rsid w:val="001F303A"/>
    <w:rsid w:val="00235839"/>
    <w:rsid w:val="00251AB0"/>
    <w:rsid w:val="00263D1B"/>
    <w:rsid w:val="00277E0C"/>
    <w:rsid w:val="00285174"/>
    <w:rsid w:val="002B2E79"/>
    <w:rsid w:val="002C0375"/>
    <w:rsid w:val="002D5C5F"/>
    <w:rsid w:val="002E2A6B"/>
    <w:rsid w:val="002F0BE6"/>
    <w:rsid w:val="002F6840"/>
    <w:rsid w:val="0036257E"/>
    <w:rsid w:val="00380414"/>
    <w:rsid w:val="00393616"/>
    <w:rsid w:val="003B122F"/>
    <w:rsid w:val="003B21DD"/>
    <w:rsid w:val="003B5FA4"/>
    <w:rsid w:val="003C5413"/>
    <w:rsid w:val="003E403B"/>
    <w:rsid w:val="003E6B27"/>
    <w:rsid w:val="003E777A"/>
    <w:rsid w:val="003F3519"/>
    <w:rsid w:val="003F4FB1"/>
    <w:rsid w:val="00406EB1"/>
    <w:rsid w:val="00432F9E"/>
    <w:rsid w:val="00440236"/>
    <w:rsid w:val="00471F67"/>
    <w:rsid w:val="0049538C"/>
    <w:rsid w:val="004A5198"/>
    <w:rsid w:val="004B15FB"/>
    <w:rsid w:val="004B3911"/>
    <w:rsid w:val="004C0C49"/>
    <w:rsid w:val="004E6173"/>
    <w:rsid w:val="004F0BCA"/>
    <w:rsid w:val="00503EA0"/>
    <w:rsid w:val="005062F3"/>
    <w:rsid w:val="0053408F"/>
    <w:rsid w:val="00572FD7"/>
    <w:rsid w:val="0057711F"/>
    <w:rsid w:val="00584890"/>
    <w:rsid w:val="00595423"/>
    <w:rsid w:val="005B2F11"/>
    <w:rsid w:val="005E7DD7"/>
    <w:rsid w:val="006566C0"/>
    <w:rsid w:val="006605AE"/>
    <w:rsid w:val="006B1F48"/>
    <w:rsid w:val="006D564E"/>
    <w:rsid w:val="006D712E"/>
    <w:rsid w:val="00707BA6"/>
    <w:rsid w:val="00712190"/>
    <w:rsid w:val="00723E9D"/>
    <w:rsid w:val="007408E0"/>
    <w:rsid w:val="00743247"/>
    <w:rsid w:val="007B0D1A"/>
    <w:rsid w:val="007C67DA"/>
    <w:rsid w:val="007D0AC2"/>
    <w:rsid w:val="007D6DA6"/>
    <w:rsid w:val="007F6083"/>
    <w:rsid w:val="00835991"/>
    <w:rsid w:val="00861867"/>
    <w:rsid w:val="00872164"/>
    <w:rsid w:val="008B5E31"/>
    <w:rsid w:val="008B7FF5"/>
    <w:rsid w:val="008C7005"/>
    <w:rsid w:val="008D7437"/>
    <w:rsid w:val="008E43FD"/>
    <w:rsid w:val="00906BA6"/>
    <w:rsid w:val="00927090"/>
    <w:rsid w:val="009369D3"/>
    <w:rsid w:val="0094602A"/>
    <w:rsid w:val="00996572"/>
    <w:rsid w:val="00A050A0"/>
    <w:rsid w:val="00A17293"/>
    <w:rsid w:val="00A23E5C"/>
    <w:rsid w:val="00A27C02"/>
    <w:rsid w:val="00A51EDB"/>
    <w:rsid w:val="00A52EAE"/>
    <w:rsid w:val="00A85D22"/>
    <w:rsid w:val="00B17CE4"/>
    <w:rsid w:val="00B2296D"/>
    <w:rsid w:val="00B367C2"/>
    <w:rsid w:val="00B575F3"/>
    <w:rsid w:val="00B979A0"/>
    <w:rsid w:val="00BB7062"/>
    <w:rsid w:val="00BC2A20"/>
    <w:rsid w:val="00BF0683"/>
    <w:rsid w:val="00BF7634"/>
    <w:rsid w:val="00C04F04"/>
    <w:rsid w:val="00C06CAE"/>
    <w:rsid w:val="00C11E71"/>
    <w:rsid w:val="00C653BB"/>
    <w:rsid w:val="00C664A2"/>
    <w:rsid w:val="00C73D22"/>
    <w:rsid w:val="00CA109A"/>
    <w:rsid w:val="00CB36CB"/>
    <w:rsid w:val="00CC5C2D"/>
    <w:rsid w:val="00D42EEB"/>
    <w:rsid w:val="00D831C4"/>
    <w:rsid w:val="00DC4809"/>
    <w:rsid w:val="00DD0C19"/>
    <w:rsid w:val="00DE1FD7"/>
    <w:rsid w:val="00DF1F26"/>
    <w:rsid w:val="00E2420B"/>
    <w:rsid w:val="00E40F72"/>
    <w:rsid w:val="00E41562"/>
    <w:rsid w:val="00E51396"/>
    <w:rsid w:val="00E51E35"/>
    <w:rsid w:val="00E715AC"/>
    <w:rsid w:val="00E81A26"/>
    <w:rsid w:val="00E844A7"/>
    <w:rsid w:val="00E864DA"/>
    <w:rsid w:val="00EA6CCF"/>
    <w:rsid w:val="00EB51FD"/>
    <w:rsid w:val="00EC2A83"/>
    <w:rsid w:val="00EC4AC4"/>
    <w:rsid w:val="00EE0CB9"/>
    <w:rsid w:val="00EE7A31"/>
    <w:rsid w:val="00F016C6"/>
    <w:rsid w:val="00F02ABB"/>
    <w:rsid w:val="00F13758"/>
    <w:rsid w:val="00F2576F"/>
    <w:rsid w:val="00F6352C"/>
    <w:rsid w:val="00FB6437"/>
    <w:rsid w:val="00FC0705"/>
    <w:rsid w:val="00FC6CA7"/>
    <w:rsid w:val="00FE13F5"/>
    <w:rsid w:val="00FE65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2B0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C7322"/>
    <w:pPr>
      <w:spacing w:after="6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2F3"/>
    <w:pPr>
      <w:keepNext/>
      <w:keepLines/>
      <w:numPr>
        <w:numId w:val="19"/>
      </w:numPr>
      <w:spacing w:before="120"/>
      <w:jc w:val="left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809"/>
    <w:pPr>
      <w:keepNext/>
      <w:keepLines/>
      <w:pageBreakBefore/>
      <w:spacing w:after="12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062F3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62F3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2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2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2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2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2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D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480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062F3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3Char">
    <w:name w:val="Heading 3 Char"/>
    <w:basedOn w:val="DefaultParagraphFont"/>
    <w:link w:val="Heading3"/>
    <w:rsid w:val="003B21DD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B21DD"/>
    <w:rPr>
      <w:rFonts w:ascii="Times New Roman" w:eastAsiaTheme="majorEastAsia" w:hAnsi="Times New Roman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1D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1D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1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1D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1D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D831C4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rsid w:val="00506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62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1F0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GMU/NRL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 User</cp:lastModifiedBy>
  <cp:revision>50</cp:revision>
  <cp:lastPrinted>2015-01-06T16:45:00Z</cp:lastPrinted>
  <dcterms:created xsi:type="dcterms:W3CDTF">2009-11-10T16:38:00Z</dcterms:created>
  <dcterms:modified xsi:type="dcterms:W3CDTF">2017-03-17T20:23:00Z</dcterms:modified>
</cp:coreProperties>
</file>